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750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75058" w:rsidRDefault="006E2A6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75058" w:rsidRDefault="006E2A6F">
            <w:pPr>
              <w:spacing w:after="0" w:line="240" w:lineRule="auto"/>
            </w:pPr>
            <w:r>
              <w:t>29638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75058" w:rsidRDefault="006E2A6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75058" w:rsidRDefault="006E2A6F">
            <w:pPr>
              <w:spacing w:after="0" w:line="240" w:lineRule="auto"/>
            </w:pPr>
            <w:r>
              <w:t>GRADSKA KNJIŽNICA MARKA MARULIĆA SPLIT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75058" w:rsidRDefault="006E2A6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75058" w:rsidRDefault="006E2A6F">
            <w:pPr>
              <w:spacing w:after="0" w:line="240" w:lineRule="auto"/>
            </w:pPr>
            <w:r>
              <w:t>21</w:t>
            </w:r>
          </w:p>
        </w:tc>
      </w:tr>
    </w:tbl>
    <w:p w:rsidR="00E75058" w:rsidRDefault="006E2A6F">
      <w:r>
        <w:br/>
      </w:r>
    </w:p>
    <w:p w:rsidR="00E75058" w:rsidRDefault="006E2A6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75058" w:rsidRDefault="006E2A6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75058" w:rsidRDefault="006E2A6F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1.470.901,84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1.785.751,55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1.341.499,33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1.469.754,21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129.402,51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315.997,34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244,2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246.969,71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258.989,61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246.969,71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258.989,61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104,9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57.007,73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REZULTAT POSLOVANJA – Ostvaren je VIŠAK PRIHODA I PRIMITAKA u iznosu od 57.007,73 € jer su veći su prihodi za zaposlene i sredstva za nabavu knjiga i knjižne građe, nadležni proračun je početkom godine platio plaćanja iz 2025. </w:t>
      </w:r>
    </w:p>
    <w:p w:rsidR="00E75058" w:rsidRDefault="006E2A6F">
      <w:r>
        <w:br/>
      </w:r>
    </w:p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1.470.901,84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1.785.751,55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 PRIHODI POSLOVANJA iznose 1.785.751,55 € i za 21,40 % su veći od prihoda od prošle godine u istom izvještajnom razdoblju zbog povećanja rashoda plaća i većih doznačenih sredstava za nabavu knjižne građe, a detaljnije će biti obrazloženo u idućim stavkama</w:t>
      </w:r>
      <w:r>
        <w:t>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345.620,49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377.330,79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63 Pomoći iz inozemstva i od subjekata unutar općeg proračuna u iznosu od 377.330,79 € za 9,20 % su veći od prihoda prošle godine jer su veći troškovi zaposlenih  i veća su doznačena sredstva za knjižnu građu.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331.276,49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377.330,79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636  Pomoći proračunskim korisnicima iz proračuna koji im nije nadležan u iznosu od 377.330,79 € su prihodi od nenadležnih proračuna i za 13,90 % su veći od prihoda od prošle godine jer su veći troškovi zaposlenih  i veća su doznačena sredstva za knjižnu g</w:t>
      </w:r>
      <w:r>
        <w:t>rađu, a sastoje se od;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prihodi od Ministarstva kulture i medija za pokriće plaća i materijalnih troškova (putnih troškova, uredskog materijala i telefona)  dvoje djelatnika zaposlenih u Matičnoj i razvojnoj službi SDŽ,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prihodi od Općine Podstrana za pokrić</w:t>
      </w:r>
      <w:r>
        <w:t>e plaće djelatnika u knjižnici Podstrana,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prihodi od Općine Šolta za pokriće plaća djelatnica u knjižnici Grohote, krajem 2025. godine je zaposlena nova djelatnica, tako da su sad dvije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 xml:space="preserve">prihoda od Općina i Gradova korisnika usluga Bibliobusa za pokrivanje </w:t>
      </w:r>
      <w:r>
        <w:t>rada Bibliobusne službe (radionice i ostali materijalni troškovi)</w:t>
      </w:r>
    </w:p>
    <w:p w:rsidR="00E75058" w:rsidRDefault="006E2A6F">
      <w:pPr>
        <w:pStyle w:val="ListParagraph"/>
        <w:numPr>
          <w:ilvl w:val="0"/>
          <w:numId w:val="1"/>
        </w:numPr>
      </w:pPr>
      <w:r>
        <w:t xml:space="preserve">prihoda od Splitsko-dalmatinske županije za pokriće troškova održavanja i rada Bibliobusa i Županijske Bibliobusne službe od trenutka završetka projekta „Za dobre </w:t>
      </w:r>
      <w:r>
        <w:lastRenderedPageBreak/>
        <w:t>vibre-čitaj libre“, 17.09.2</w:t>
      </w:r>
      <w:r>
        <w:t>023. (plaće djelatnika, troškovi održavanja Bibliobusne službe, troškovi uredskog materijala),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prihodi za kupnju knjiga, igračaka, časopisa i ostale građe Fonda Knjižnice.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135.651,49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134.158,29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6361 Tekuće pomoći proračunskim korisnicima iz proračuna koji im nije </w:t>
      </w:r>
      <w:proofErr w:type="spellStart"/>
      <w:r>
        <w:t>nadlažan</w:t>
      </w:r>
      <w:proofErr w:type="spellEnd"/>
      <w:r>
        <w:t xml:space="preserve"> iznosi 134.158,29 € i služi za pokriće plaća i ostalih materijalnih troškova i za 1,10 % je manji od iznosa prošle godine budući da Splitsko-dalmatinska županija do 30.lipnja za</w:t>
      </w:r>
      <w:r>
        <w:t xml:space="preserve"> 2026. godinu nije refundirala troškove održavanja Bibliobusa i plaća djelatnika u Bibliobusnoj službi u iznosu od 20.339,12 € za izvještajno razdoblje. Navedeni iznos odnose se na troškove plaća djelatnika u Bibliobusnoj službi od 5-6/26, regres 2026 te o</w:t>
      </w:r>
      <w:r>
        <w:t>stale troškova rada službe (gorivo, tahograf i ostali tr. održavanja bibliobusa).</w:t>
      </w:r>
    </w:p>
    <w:p w:rsidR="00E75058" w:rsidRDefault="006E2A6F">
      <w:r>
        <w:t>Također, općine koje su uključene u županijsku rutu Bibliobusne službe do 30. lipnja 2026. godine nisu izvršile uplate za troškove programske djelatnosti s obzirom da su ugov</w:t>
      </w:r>
      <w:r>
        <w:t>ori poslani tijekom drugog kvartala, zbog čekanja povratne informacije iz SDŽ o financiranju troškova bibliobusne službe. Naime, SDŽ još nije poslala obavijest koliko će rebalansom povećati sredstva za održavanje županijske bibliobusne službe. Ovisno o tom</w:t>
      </w:r>
      <w:r>
        <w:t>e planirat ćemo ugovore za ovu godinu.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243.172,50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6362 Kapitalne pomoći proračunskim korisnicima iz proračuna koji im nije </w:t>
      </w:r>
      <w:proofErr w:type="spellStart"/>
      <w:r>
        <w:t>nadlažan</w:t>
      </w:r>
      <w:proofErr w:type="spellEnd"/>
      <w:r>
        <w:t xml:space="preserve"> iznosi 243.172,50 € i predstavljaju uplaćena sredstva za nabavu građe Fonda Knjižnice od strane Ministarstva kulture i medija, Općina Grohote i Podstrane. i za 24,30 % su već</w:t>
      </w:r>
      <w:r>
        <w:t>i. Općina Podstrana uplatila je sredstva za nabavu informatičke opreme za Odjel knjižnice u Podstrani. Također, Županija je refundirala sredstva za nabavu informatičke opreme te za izradu ukupno 11 promotivnih videa, kojih nije bilo u istom obračunskom raz</w:t>
      </w:r>
      <w:r>
        <w:t>doblju prethodne godine za županijsku kampanju poticanja čitanja.</w:t>
      </w:r>
    </w:p>
    <w:p w:rsidR="00E75058" w:rsidRDefault="006E2A6F">
      <w:r>
        <w:t>Ministarstvo kulture i medija je za nabavu knjižne građe za 2026. osiguralo više sredstava nego prethodne godine. Za knjižnice u mreži GKMM 130.000,00 €, za Knjižnicu Grohote na Šolti 5.000,</w:t>
      </w:r>
      <w:r>
        <w:t>00 € i za Knjižnicu Podstrana 5.000,00 €. Za Bibliobusu službu je ugovoreno 18.000,00 €.</w:t>
      </w:r>
    </w:p>
    <w:p w:rsidR="00E75058" w:rsidRDefault="006E2A6F">
      <w:r>
        <w:lastRenderedPageBreak/>
        <w:t>Po svim Ugovorima za nabavu knjiga i knjižne građe za mrežu Knjižnica GKMM sredstva Ministarstva kulture i medija su za 2026. veća.</w:t>
      </w:r>
    </w:p>
    <w:p w:rsidR="00E75058" w:rsidRDefault="006E2A6F">
      <w:r>
        <w:t>Općina Podstrana je osigurala 7.000</w:t>
      </w:r>
      <w:r>
        <w:t>,00 € , Općina Grohote 5.000,00 €.</w:t>
      </w:r>
    </w:p>
    <w:p w:rsidR="00E75058" w:rsidRDefault="006E2A6F">
      <w:r>
        <w:t>Otkup knjiga od Ministarstva kulture i medija se kao i prošle godine vrši isplatom sredstava na račun za nabavu knjiga iz otkupa. Ministarstvo kulture je za otkup knjiga GKMM osiguralo 110.500,00 €.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14.344,00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638 Pomoći temeljem prijenosa EU sredstava - sukladno novim uputama za evidentiranje EU sredstava tijekom 2025. </w:t>
      </w:r>
      <w:proofErr w:type="spellStart"/>
      <w:r>
        <w:t>preknjiženo</w:t>
      </w:r>
      <w:proofErr w:type="spellEnd"/>
      <w:r>
        <w:t xml:space="preserve"> s prihoda na predujmove (27).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14.344,00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6381 Tekuće pomoći temeljem prijenosa EU sredstava - sukladno novim uputama za evidentiranje EU sredstava tijekom 2025. </w:t>
      </w:r>
      <w:proofErr w:type="spellStart"/>
      <w:r>
        <w:t>preknjiženo</w:t>
      </w:r>
      <w:proofErr w:type="spellEnd"/>
      <w:r>
        <w:t xml:space="preserve"> s prihoda na predujmove (27).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64 Prihodi od imovine iznose 0,00 € i predstavljaju prihode od redovnih kamata na sredstva na poslovnom računu koji je 10.03.2025. zatvoren jer je Gradska knjižnica prešla u ožujku 2025. na potpunu Riznicu Grada Splita, a detaljnije će biti obrazloženo u i</w:t>
      </w:r>
      <w:r>
        <w:t>dućim stavkama.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641 Prihodi od financijske imovine iznose 0,00 € i predstavljaju prihode od redovnih kamata na sredstva na poslovnom računu koji je 10.03.2025. zatvoren jer je Gradska knjižnica prešla u ožujku 2025. na potpunu Riznicu Grada Splita.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6413 Kamate na oročena sredstva i depozite po viđenju iznose 0,00 € i predstavljaju prihode od redovnih kamata na sredstva na poslovnom računu koji je 10.03.2025. zatvoren jer je Gradska knjižnica prešla u ožujku 2025. na potpunu Riznicu Grada Splita.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naknada </w:t>
            </w:r>
            <w:r>
              <w:rPr>
                <w:sz w:val="18"/>
              </w:rPr>
              <w:t>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78.579,06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72.479,11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65 Prihodi od upravnih i administrativnih pristojbi, pristojbi po posebnim propisima i naknada iznose 72.479,11 € i za 7,80 % su manji od prihoda istog izvještajnog razdoblja prošle godine, a detaljnije će biti obrazloženo u idućim stavkama.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78.579,06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72.479,11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652 Prihodi po posebnim propisima i naknada iznose 72.479,11 € i za 7,80 % su manji od prihoda istog izvještajnog razdoblja prošle godine. To su prihodi od upisnina, zakasnina, rezervacija knjiga i ostalih usluga vezanih uz posudbu građe Fonda Knjižnice. I</w:t>
      </w:r>
      <w:r>
        <w:t xml:space="preserve">ako je od 2. svibnja 2024. za djecu do 18. godina omogućen besplatan upis, čime je završila zadnja faza </w:t>
      </w:r>
      <w:r>
        <w:lastRenderedPageBreak/>
        <w:t>strateškog plana GKMM-a temeljem koje korisnici do navršene 18. godine imaju besplatno članstvo, prihodi ovog izvještajnog razdoblja ostali su na slično</w:t>
      </w:r>
      <w:r>
        <w:t>j razini, a broj članova je povećan.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78.579,06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72.479,11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6526 Ostali nespomenuti prihodi iznose 72.479,11 € i za 7,80 % su manji od prihoda istog izvještajnog razdoblja prošle godine. To su prihodi od upisnina, zakasnina, rezervacija knjiga i ostalih usluga vezanih uz posudbu građe Fonda Knjižni</w:t>
      </w:r>
      <w:r>
        <w:t>ce. Iako je od 2. svibnja 2024. za djecu do 18. godina omogućen besplatan upis, čime je završila zadnja faza strateškog plana GKMM-a temeljem koje korisnici do navršene 18. godine imaju besplatno članstvo, prihodi ovog izvještajnog razdoblja ostali su na s</w:t>
      </w:r>
      <w:r>
        <w:t>ličnoj razini, a broj članova je povećan.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</w:t>
            </w:r>
            <w:r>
              <w:rPr>
                <w:sz w:val="18"/>
              </w:rPr>
              <w:t>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30.104,17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29.116,08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66  Prihodi od prodaje proizvoda i robe te pruženih usluga, prihodi od donacija te povrati po protestiranim jamstvima u iznosu od 29.116,08 € su za 3,30 % manji od istih prihoda prethodnog izvještajnog razdoblja, a detaljnije će biti obrazloženo u idućim s</w:t>
      </w:r>
      <w:r>
        <w:t>tavkama.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8.334,89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9.885,11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661 Prihodi od prodaje proizvoda i robe te pruženih usluga u iznosu od 9.885,11 € su veći za 18,60 %. Prihodi od prodaje knjiga i prihodi od usluga (zakupa i ostalih usluga) su veći.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 6614 Prihodi od prodaje proizvoda i robe u iznosu od 4.142,60 € i za 49,60 % su veći i predstavljaju prodaju knjiga u nakladništvu GKMM (slikovnica Bibliobus Svjetobus, Bartul 2, Fotomonografija „Feđa Klarić – 50 godina fotografije“, „Ivo Tijardović, živo</w:t>
      </w:r>
      <w:r>
        <w:t xml:space="preserve">t i vrijeme – Memoari slavnog Splićanina“, „Život Marka Marulića“, „Skalina“, „Grozote rata“, „Priča o sv., Jeri“, „Što te volim“, „Ča je ča“, „Ero s online svijeta“, „Libar o braći Uvodić“, „S kraja na kraj Splita“, „ Hrvati Punta </w:t>
      </w:r>
      <w:proofErr w:type="spellStart"/>
      <w:r>
        <w:t>Arenasa</w:t>
      </w:r>
      <w:proofErr w:type="spellEnd"/>
      <w:r>
        <w:t xml:space="preserve"> i </w:t>
      </w:r>
      <w:proofErr w:type="spellStart"/>
      <w:r>
        <w:t>Magallanesa</w:t>
      </w:r>
      <w:proofErr w:type="spellEnd"/>
      <w:r>
        <w:t>“),</w:t>
      </w:r>
      <w:r>
        <w:t xml:space="preserve"> te prodaju knjiga iz donacija.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5.565,14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6615 Prihodi od pruženih usluga iznose 5.742,51 € i za 3,20 % su veći od prihoda prošle godine i predstavljaju  usluge zakupa.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21.769,28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19.230,97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663 Donacije od pravnih i fizičkih osoba izvan općeg proračuna te povrat donacija i kapitalnih pomoći po protestiranim jamstvima u iznosu od 19.230,97 €  su manje za 11,70 %. To su donacije knjiga građana, nakladnika i institucija.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</w:t>
            </w:r>
            <w:r>
              <w:rPr>
                <w:b/>
                <w:sz w:val="18"/>
              </w:rPr>
              <w:t>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lastRenderedPageBreak/>
        <w:t>6631 Tekuće donacije iznose 1.300,00 € i prošle godine u ovom obračunskom razdoblju ih nije bilo.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1.016.598,02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1.306.825,57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67 Prihodi iz nadležnog proračuna i od HZZO-a na temelju ugovornih obveza u iznosu od 1.306.825,57 € su za 28,50 % veći od prihoda prošle godine jer su veća sredstva za rashode zaposlenika, a detaljnije će biti obrazloženo u idućim stavkama.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</w:t>
            </w:r>
            <w:r>
              <w:rPr>
                <w:sz w:val="18"/>
              </w:rPr>
              <w:t xml:space="preserve">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1.016.598,02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1.306.825,57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671 Prihodi iz nadležnog proračuna za financiranje redovne djelatnosti proračunskih korisnika iznose 1.306.825,57 € i za 28,5 % je veće u odnosu na isto obračunsko vrijeme prošle godine.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934.665,83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1.226.352,28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6711 Prihodi iz nadležnog proračuna za financiranje rashoda poslovanja (troškove električne energije, usluge tekućeg održavanja i sl.) u iznosu od 1.226.352,28 € su veća za 31,20 % jer su rashodi za djelatnike veći, od 01.01.2025., od 01.03.2025. i 01.08.2</w:t>
      </w:r>
      <w:r>
        <w:t>025. porasle su plaće, a od 01.06.2026. porastao je i trošak prijevoza. Grad Split je početkom godine uplatio i zaostala plaćanja iz 2025.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81.932,19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80.473,29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6712 Prihodi iz nadležnog proračuna za financiranje rashoda za nabavu nefinancijske imovine iznose 80.473,29 € i za 1,80 % su manja od prošle godine zbog ulaganja u objekte dane na korištenje jer je u 2025. uređivan Krimi-kutak, nabavljan je uredski namješ</w:t>
      </w:r>
      <w:r>
        <w:t>taj i police za Knjižnicu u mreži, a i nabavljeno je više knjižne građe u istom periodu prethodne gone na teret nadležnog proračuna.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1.341.499,33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1.469.754,21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 RASHODI POSLOVANJA iznose 1.469.754,21 € i za 9,60 % su veći od rashoda istog izvještajnog razdoblja prošle godine jer su rashodi za zaposlene veći,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Rashodi za zaposlene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Materijalni rashodi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Financijski rashodi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1.112.026,09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1.253.373,87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31 Rashodi za zaposlene iznose 1.253.373,87 € i za 12,70 % su veći od rashoda za zaposlene od prošle godine,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Plaća (bruto)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Ostali rashodi za zaposlene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Doprinosi na plaće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875.235,61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960.124,17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311 Plaće (bruto) iznose 960.124,17 € i za 9,70 % su veći od rashoda za zaposlene od prošle godine,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Plaće za redovan rad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875.235,61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960.124,17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3111 Plaće za redovan rad iznose 960.124,17 € i za 9,70 % su veći od rashoda za zaposlene od prošle godine jer je došlo do povećanja plaća u tri navrata i to od 01.01.2025., 01.03.2025. i 1.08.2025., veći je broja zaposlenika (otvorene su nove knjižnice Kn</w:t>
      </w:r>
      <w:r>
        <w:t>jižnica Dalmatina, Knjižnica Mejaši, Knjižnica Tehnološki park).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rashodi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94.630,84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134.829,18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312 Ostali rashodi za zaposlene iznose 134.829,18 € i veći su  za 42,50 % jer u smo 2026. imali isplatu Uskrsnice koje u 2025. nije bilo, veći je broj jubilarnih nagrada, a Regres u 2026. je oporeziv.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142.159,64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158.420,52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313 Doprinosi na plaće iznose 158.420,52 € i za 11,40 % su veći u odnosu na isto razdoblje prošle godine jer je došlo do povećanja plaća u tri navrata i to od 01.01.2025., 01.03.2025. i </w:t>
      </w:r>
      <w:r>
        <w:lastRenderedPageBreak/>
        <w:t>1.08.2025., veći je broja zaposlenika (otvorene su nove knjižnice Knji</w:t>
      </w:r>
      <w:r>
        <w:t>žnica Dalmatina, Knjižnica Mejaši, Knjižnica Tehnološki park).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za obvezno </w:t>
            </w:r>
            <w:r>
              <w:rPr>
                <w:sz w:val="18"/>
              </w:rPr>
              <w:t>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142.159,64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158.420,52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3132 Doprinosi za obvezno zdravstveno osiguranje iznose 158.420,52 € i za 11,40 % su veći u odnosu na isto obračunsko razdoblje prošle godine jer je došlo do povećanja plaća u tri navrata i to od 01.01.2025., 01.03.2025. i 1.08.2025., veći je broja zaposle</w:t>
      </w:r>
      <w:r>
        <w:t>nika (otvorene su nove knjižnice Knjižnica Dalmatina, Knjižnica Mejaši, Knjižnica Tehnološki park).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228.964,60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216.380,34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 Materijalni rashodi  iznose 216.380,34 € i za 5,50 % su manji od materijalnih rashoda od prošle godine jer su usluge tekućeg i inv. održavanja knjižnica u mreži manje,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Naknada troškova zaposlenima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Rashodi za materijal i energiju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Rashodi</w:t>
      </w:r>
      <w:r>
        <w:t xml:space="preserve"> za usluge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Naknade troškova osobama izvan radnog odnosa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Ostali nespomenuti rashodi poslovanja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26.637,21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30.336,86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321 Naknade troškova zaposlenima iznose 30.336,86 € i za 13,90 % su veći u odnosu na isto obračunsko razdoblje prošle godine,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Službena putovanja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Naknade za prijevoz, za rad na terenu i odvojeni život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Stručno usavršavanje zaposlenika</w:t>
      </w:r>
    </w:p>
    <w:p w:rsidR="00E75058" w:rsidRDefault="006E2A6F">
      <w:r>
        <w:t> </w:t>
      </w:r>
    </w:p>
    <w:p w:rsidR="00E75058" w:rsidRDefault="006E2A6F">
      <w:r>
        <w:lastRenderedPageBreak/>
        <w:t>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3211 Službena putovanja iznose 5.705,13 € i za 68,70 % su veći. U siječnju je kolegica iz tajništva otišla u Zagreb na izobrazbu iz područja javne nabave. U veljači je ravnateljica s troje kolega otišla u Zagreb na promociju knjige u nakladi GKMM (predstav</w:t>
      </w:r>
      <w:r>
        <w:t>ljena je knjiga Ivo Tijardović-„Život i vrijeme: memoari slavnog Splićanina“). U ožujku su ravnateljica i kolegica iz projekata otišle na Šoltu na sastanak s načelnikom Općine Šolta i predstavnicima Instituta za etnologiju i folkloristiku u vezi spomen-sob</w:t>
      </w:r>
      <w:r>
        <w:t>e Vesne Parun. U ožujku je kolega iz periodike otišao u Zagreb na obuku za rad u knjižničarskom programu ZAKI za potrebe Odjela periodike GKMM-a, voditeljica Matične službe je otišla u Zagreb na stručni skup (zajednički sastanak voditelja i stručnih suradn</w:t>
      </w:r>
      <w:r>
        <w:t>ika županijskih matičnih razvojnih službi za narodne i školske knjižnice) i kolegica knjižničarka je otišla na stručni skup u Zagreb ("Savjetovanje čitatelja: tabu teme, očekivanja i razvoj kritičkog mišljenja"  u organizaciji Hrvatskog knjižničarskog druš</w:t>
      </w:r>
      <w:r>
        <w:t>tva – Komisija za knjižnične usluge za djecu i mladež). U svibnju su kolegice iz Bibliobusne službe te kolegica zadužena za projekte sudjelovale na 23. međunarodnom stručnom skupu pokretnih knjižnica i Festivalu bibliobusa, održanom u Novoj Gorici u Sloven</w:t>
      </w:r>
      <w:r>
        <w:t>iji. Istoga mjeseca Gradska knjižnica Marka Marulića organizirala je stručni skup „Suvremeni pristupi u oblikovanju knjižničnih prostora za djecu i mlade“. U okviru organizacije i provedbe skupa nastali su troškovi naknada i ostalih izdataka za vanjske sur</w:t>
      </w:r>
      <w:r>
        <w:t>adnike koji su sudjelovali u njegovu programu. Također u svibnju kolegice iz Matične službe službeno su boravile na otoku Hvaru radi obavljanja stručnog nadzora i savjetovanja narodnih knjižnica. Ravnateljica, tajnica i pet djelatnika Knjižnice sudjelovali</w:t>
      </w:r>
      <w:r>
        <w:t xml:space="preserve"> su na utrci preko Pelješkog mosta, gdje su svojim sudjelovanjem promovirali Gradsku knjižnicu Marka Marulića i njezine aktivnosti. U lipnju je kolegica iz Matične službe sudjelovala na sastanku Stručnog vijeća voditelja i stručnih suradnika županijskih ma</w:t>
      </w:r>
      <w:r>
        <w:t>tičnih razvojnih službi, održanom u Zagrebu. Također u lipnju dvije kolegice iz Računovodstva sudjelovale su u programu Erasmus+, u sklopu kojeg su pohađale tečaj „</w:t>
      </w:r>
      <w:proofErr w:type="spellStart"/>
      <w:r>
        <w:t>Stress</w:t>
      </w:r>
      <w:proofErr w:type="spellEnd"/>
      <w:r>
        <w:t xml:space="preserve"> Management and </w:t>
      </w:r>
      <w:proofErr w:type="spellStart"/>
      <w:r>
        <w:t>Recognition</w:t>
      </w:r>
      <w:proofErr w:type="spellEnd"/>
      <w:r>
        <w:t>“ na Siciliji. Istoga mjeseca kolegica iz Matične službe pr</w:t>
      </w:r>
      <w:r>
        <w:t>isustvovala je svečanom otvorenju preuređene Gradske knjižnice Vrgorac.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392,4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lastRenderedPageBreak/>
        <w:t>3213 Stručno usavršavanje zaposlenika iznosi 4.258,13 € i za 292,40 % su veća. Računovodstvo je odslušalo webinar za GFI, kolege knjižničari su sudjelovali u seminaru „Postavljanje granica u radu s tinejdžerima u knjižnici“, plaćen je seminar za računovods</w:t>
      </w:r>
      <w:r>
        <w:t>tvo  vezan za ERASMUS +, plaćena je kotizacija za sudjelovanje na IFLA konferenciji koja će se održati u Koreji, plaćen je i stručni ispit za tri knjižničara. Plaćene su i kotizacije za dvije knjižničarke za sudjelovanje na međunarodnom skupu koji će se od</w:t>
      </w:r>
      <w:r>
        <w:t>ržati u rujnu u Koprivnici.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55.838,19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55.103,48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322 Rashodi za materijal i energiju iznose 55.103,48 € i za 1,3 % su manji u odnosu na isto </w:t>
      </w:r>
      <w:proofErr w:type="spellStart"/>
      <w:r>
        <w:t>oračunsko</w:t>
      </w:r>
      <w:proofErr w:type="spellEnd"/>
      <w:r>
        <w:t xml:space="preserve"> </w:t>
      </w:r>
      <w:proofErr w:type="spellStart"/>
      <w:r>
        <w:t>razdblje</w:t>
      </w:r>
      <w:proofErr w:type="spellEnd"/>
      <w:r>
        <w:t xml:space="preserve"> prošle godine.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Uredski materijal i ostali materijalni rashodi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Energija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Materijal i dijelovi za tekuće</w:t>
      </w:r>
      <w:r>
        <w:t xml:space="preserve"> i investicijsko održavanje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 xml:space="preserve">Sitni inventar i </w:t>
      </w:r>
      <w:proofErr w:type="spellStart"/>
      <w:r>
        <w:t>autogume</w:t>
      </w:r>
      <w:proofErr w:type="spellEnd"/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Uredski materijal i ostali </w:t>
            </w:r>
            <w:r>
              <w:rPr>
                <w:sz w:val="18"/>
              </w:rPr>
              <w:t>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21.328,50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17.318,56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3221 Uredski materijal i ostali materijalni rashodi iznose 17.318,56 € i za 18,80 % su manji jer su manji troškovi uredskog materijala, higijenskog materijala i ostalog materijala za potrebe redovnog poslovanja, troškovi članskih iskaznica su na istoj razi</w:t>
      </w:r>
      <w:r>
        <w:t>ni, a troškovi folija, naljepnica i tonera su veći, a veći su i troškovi za nabavu časopisa i publikacija.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31.646,62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33.900,30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3223 Trošak energije iznosi 33.900,30 € i za 7,10 % je veći, jer su troškovi goriva za Bibliobus veći, a i električna energija je skuplja.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3224 Materijal i dijelovi za tekuće i investicijsko održavanje iznosi 1.389,01 € i za 2,70 % su veći zbog tekućih potreba održavanja i uređenja.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3225 Sitni inventar i auto gume iznosi 2.495,61 € i za 65,20 % su veći. Za Knjižnicu Mejaši nabavljen je dječji šator za igranje, set mikroskop, za Središnjicu su nabavljeni mop i partviš s drškom, USB-i, škare, zastava, pečati, za Knjižnicu Podstrana naba</w:t>
      </w:r>
      <w:r>
        <w:t>vljeni su zvučnici, za Zavičajnu službu nabavljene su arhivske kutije, za Tehnološki park nabavljeni su žičani stalci i izložbeni displej, ladice za spise, škare, stalak za selotejp, lopatica i metla, datumar, stalak za zastavicu, stolna zastavica, grb RH,</w:t>
      </w:r>
      <w:r>
        <w:t xml:space="preserve"> držači za knjige, kabel USB. Za knjižnicu Trstenik nabavljen je prezenter i kovčeg s alatom. Za mrežu su nabavljene presvlake, kante, drške, partviš, majice za sudjelovanje na utrci Pelješki most.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132.566,12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106.038,83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 Rashodi za usluge iznose 106.038,83 € i za 20,00 % su manje jer su usluge tekućeg i inv. održavanja knjižnica u mreži manji,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Usluga telefona, interneta, pošte i prijevoza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Usluga tekućeg i investicijskog održavanja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Usluge promidžbe i in</w:t>
      </w:r>
      <w:r>
        <w:t>formiranja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Komunalne usluge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Zakupnine i najamnine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Zdravstvene i veterinarske usluge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Intelektualne i osobne usluge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Računalne usluge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Ostale usluge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10.971,37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3231 Usluge telefona, interneta, pošte i prijevoza  iznose 12.771,00 € i za 16,40 % su veći jer su prošle godine krajem prvog kvartala uvedene VPN veze za sve knjižnice, a u 2026. otvorena je i knjižnica na Tehnološkom parku.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54.189,87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3232 Usluge tekućeg i investicijskog održavanja iznose 33.664,51 € i za 37,90 % su manje. Početkom prošle godine u Središnjici na dječjem odjelu servisirana je klima (kompresor i elektronika), a i Bibliobus je u prošloj godini imao dva popravka zbog ošteće</w:t>
      </w:r>
      <w:r>
        <w:t>nja.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3233 Usluge promidžbe i informiranja iznose 1.250,00 € i za 77,30 % su manji jer se u 2026. nabavljalo manje promidžbenih materijala.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3234 Komunalne usluge iznose 4.724,90 € i za 38,70 % su veći jer smo imali dodatno odvoz zbog čišćenja spremišta na Mertojaku, došli su svi računi za komunalnu naknadu za cijelu godinu te su isti plaćeni.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16.837,38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16.615,48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3235 Zakupnine i najamnine iznose 16.615,48 € i za 1,30 % su manji jer je jedan ugovor o najmu informatičke opreme istekao sredinom prošle godine, a krajem prošle godine uzeti su novi printeri u najam.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3236 Zdravstvene i veterinarske usluge u ovom obračunskom razdoblju nema jer je ugovor za sistematske preglede istekao sredinom prošle godine.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18.551,01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20.138,67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3237 Intelektualne i osobne usluge iznose 20.138,67 € i za 8,60 % su veće i predstavljaju usluge Autorskih honorara i Ugovora o djelu za redovne Programe Knjižnice koji su u tijeku. Od autorskih ugovora realizirana je manifestacija „Dani Marka Marulića“ u </w:t>
      </w:r>
      <w:r>
        <w:t xml:space="preserve">Šolti, predstavljanje knjige Ivo Tijardović - „Život i vrijeme: memoari slavnog Splićanina“ u Zagrebu, prijevod pjesama iz zbirke Otac na japanski jezik, recenzirani su radovi za časopis </w:t>
      </w:r>
      <w:proofErr w:type="spellStart"/>
      <w:r>
        <w:t>Marulist</w:t>
      </w:r>
      <w:proofErr w:type="spellEnd"/>
      <w:r>
        <w:t xml:space="preserve"> i izrađeno je 11 promotivnih videa knjižnica Splitsko-dalmat</w:t>
      </w:r>
      <w:r>
        <w:t>inske županije, održane su tribine „Poezija na katu“, autorske glazbene večeri i koncerti u sklopu projekta „Glazbeni rukopisi“, šest radionica projekta „Studio lektira“, glazbena večer u okviru manifestacije „Noć knjige 2026.“, gostovanja u programu „A št</w:t>
      </w:r>
      <w:r>
        <w:t xml:space="preserve">a sad radi…?“, glazbena večer prilikom predstavljanja digitalnog časopisa </w:t>
      </w:r>
      <w:proofErr w:type="spellStart"/>
      <w:r>
        <w:t>MaruLIST</w:t>
      </w:r>
      <w:proofErr w:type="spellEnd"/>
      <w:r>
        <w:t>, glazbena radionica za djecu „</w:t>
      </w:r>
      <w:proofErr w:type="spellStart"/>
      <w:r>
        <w:t>Kairos</w:t>
      </w:r>
      <w:proofErr w:type="spellEnd"/>
      <w:r>
        <w:t xml:space="preserve">“ u Gradskoj knjižnici Marka Marulića Split te stručni skup u organizaciji Gradske knjižnice Marka Marulića. Od ugovora o djelu izvršeni </w:t>
      </w:r>
      <w:r>
        <w:t xml:space="preserve">su poslovi valorizacije arhivskog i </w:t>
      </w:r>
      <w:proofErr w:type="spellStart"/>
      <w:r>
        <w:t>registraturnog</w:t>
      </w:r>
      <w:proofErr w:type="spellEnd"/>
      <w:r>
        <w:t xml:space="preserve"> gradiva te zamjena vozačice bibliobusne službe. U okviru intelektualnih usluga realizirani su koncert tango gitarista Diega „</w:t>
      </w:r>
      <w:proofErr w:type="spellStart"/>
      <w:r>
        <w:t>Dipija</w:t>
      </w:r>
      <w:proofErr w:type="spellEnd"/>
      <w:r>
        <w:t xml:space="preserve">“ </w:t>
      </w:r>
      <w:proofErr w:type="spellStart"/>
      <w:r>
        <w:t>Kvitka</w:t>
      </w:r>
      <w:proofErr w:type="spellEnd"/>
      <w:r>
        <w:t>, kazališna predstava u sklopu projekta „Bez ekrana nije mana“, us</w:t>
      </w:r>
      <w:r>
        <w:t xml:space="preserve">luge fotografiranja povodom otvorenja Knjižnice Tehnološki park, promocija knjige </w:t>
      </w:r>
      <w:proofErr w:type="spellStart"/>
      <w:r>
        <w:t>Burnout</w:t>
      </w:r>
      <w:proofErr w:type="spellEnd"/>
      <w:r>
        <w:t xml:space="preserve"> – priča o nama, glazbeni nastupi u okviru projekta </w:t>
      </w:r>
      <w:r>
        <w:lastRenderedPageBreak/>
        <w:t xml:space="preserve">„Poezija na katu“, organizacija putopisnog predavanja, radionica za djecu u sklopu projekta „Bez ekrana nije mana“ </w:t>
      </w:r>
      <w:r>
        <w:t>te koncerti u okviru projekta „Glazbeni rukopisi“.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10.207,86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12.165,46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3238 Računalne usluge iznose 12.165,46 € i za 19,20 % su veći od usluga prošle godine, predstavljaju usluge održavanja knjižničarskog programa ZAKI (došlo je do povećanja cijena jednog dijela programa), redovnog održavanja softwarea na ra</w:t>
      </w:r>
      <w:r>
        <w:t xml:space="preserve">čunalima u knjižnici (došlo je do povećanja cijene održavanja u drugoj polovici 2026.), održavanje računovodstvenog programa Promona (modul blagajne, dugotrajne imovine), korištenje Internet portala stručnih sadržaja, u 2026.  imamo i </w:t>
      </w:r>
      <w:proofErr w:type="spellStart"/>
      <w:r>
        <w:t>Arhivpro</w:t>
      </w:r>
      <w:proofErr w:type="spellEnd"/>
      <w:r>
        <w:t xml:space="preserve"> (licencu i o</w:t>
      </w:r>
      <w:r>
        <w:t>državanje servera).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8.275,14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3239 Ostale usluge iznose 4.708,81 € i za 43,10 % su manje. To su usluge registracije prijevoznih sredstava (Bibliobus), usluge čuvanja imovine i osoba i ostale usluge, grafičke usluge jer su grafičke usluge u ovom razdoblju manje.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</w:t>
            </w:r>
            <w:r>
              <w:rPr>
                <w:b/>
                <w:sz w:val="18"/>
              </w:rPr>
              <w:t>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551,8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324 Naknade troškova osobama izvan radnog odnosa iznose 5.916,13 € i za 451,80 % su veće zbog većeg broja vanjskih suradnika jednim dijelom zbog održavanja stručnog skupa, a drugim dijelom zbog provedbe projekata financiranih Ministarstvom kulture i medija</w:t>
      </w:r>
      <w:r>
        <w:t>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12.850,88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18.985,04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329 Ostali nespomenuti rashodi poslovanja iznose 18.985,04 € i za 47,70 % u odnosu na isto vremensko razdoblje prošle godine, a sastoji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 xml:space="preserve">Naknada za rad </w:t>
      </w:r>
      <w:proofErr w:type="spellStart"/>
      <w:r>
        <w:t>presavničkih</w:t>
      </w:r>
      <w:proofErr w:type="spellEnd"/>
      <w:r>
        <w:t xml:space="preserve"> i izvršnih tijela, povjerenstava i slično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Premije osiguranja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Reprezentacija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Č</w:t>
      </w:r>
      <w:r>
        <w:t>lanarine i norme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Pristojbe i naknade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Troškovi sudskih postupaka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Ostali nespomenuti rashodi poslovanja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3291 Naknade za rad predstavničkih i izvršnih tijela, povjerenstava i slično iznose 5.006,96 € i za 1,90 % su veća.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104,7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3292 Premije osiguranja u iznosu od 3.050,95 € i za 4,70 % su veći i predstavljaju troškove osiguranja Bibliobusa i djelatnika i na sličnoj su razini kao i prošle godine.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158,6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lastRenderedPageBreak/>
        <w:t xml:space="preserve">3293 Troškovi reprezentacije iznose 6.350,31 € i za 58,60 % su veći. U veljači je bila promocija knjige u nakladi GKMM (Hrvati Punta </w:t>
      </w:r>
      <w:proofErr w:type="spellStart"/>
      <w:r>
        <w:t>Arenasa</w:t>
      </w:r>
      <w:proofErr w:type="spellEnd"/>
      <w:r>
        <w:t xml:space="preserve"> i </w:t>
      </w:r>
      <w:proofErr w:type="spellStart"/>
      <w:r>
        <w:t>Magallanesa</w:t>
      </w:r>
      <w:proofErr w:type="spellEnd"/>
      <w:r>
        <w:t xml:space="preserve">; predstavljena je knjiga Ivo Tijardović-„Život i vrijeme: memoari slavnog Splićanina“ u HNK Zagreb). </w:t>
      </w:r>
      <w:r>
        <w:t>Održavani su sastanci književnih klubova. Otvorena je Knjižnica na Tehnološkom parku, održan je stručni skup.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3294 Članarine i norme iznose 563,00 € i u prošlog godini ih nije bilo u ovom obračunskom razdoblju. Riječ je o IFLA članarini (međunarodno knjižničarsko društvo).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222,8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3295 Pristojbe i naknade iznose 2.138,57 € i za 122,80 % su veće. Sastoje se od sudskih pristojbi i ostalih pristojbi i naknada.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3296 Troškovi sudskih postupaka iznose 1.156,25 € i u ovom obračunskom razdoblju prošle godine nije ih bilo, a radi se o plaćanju računa odvjetnika za tužbe za isplatu Regresa djelatnicima iz 2021.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1198,3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3299 Ostali nespomenuti rashodi poslovanja iznose 719,00 € i za 1.093,30 % su veći radi se o izvanrednim troškovima vanjske suradnice u okviru Erasmus+ programa.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34 Financijski rashodi u ovom obračunskom razdoblju ih nema jer je zatvoren žiro račun budući da je GKMM prešla s poslovanjem na kompletnu Riznicu Grada Splita 11.03.2025.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343 Ostali financijski rashodi u ovom obračunskom razdoblju ih nema jer je zatvoren žiro račun budući da je GKMM prešla s poslovanjem na kompletnu Riznicu Grada Splita 11.03.2025.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3431 Bankarske usluge i usluge platnog prometa u ovom obračunskom razdoblju ih nema jer je zatvoren žiro račun budući da je GKMM prešla s poslovanjem na kompletnu Riznicu Grada Splita 11.03.2025.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246.969,71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258.989,61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 RASHODI ZA NABAVU NEFINANCIJSKE IMOVINE iznose 258.989,61 € i za 4,90% su veći od prošle godine jer je u 2026. osigurano više sredstava za knjižnu građu.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neproizvedene dugotrajne imovine (šifre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41 Rashodi za nabavu neproizvedene dugotrajne imovine u ovom obračunskom razdoblju nema.</w:t>
      </w:r>
    </w:p>
    <w:p w:rsidR="00E75058" w:rsidRDefault="006E2A6F">
      <w:r>
        <w:t>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412 Nematerijalne imovine u ovom obračunskom razdoblju nema.</w:t>
      </w:r>
    </w:p>
    <w:p w:rsidR="00E75058" w:rsidRDefault="006E2A6F">
      <w:r>
        <w:t>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4124 Ostalih prava u ovom obračunskom razdoblju nema.</w:t>
      </w:r>
    </w:p>
    <w:p w:rsidR="00E75058" w:rsidRDefault="006E2A6F">
      <w:r>
        <w:t>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242.844,08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258.989,61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42 Rashodi za nabavu proizvedene dugotrajne imovine u iznosu od 258.989,61 € su veći za 6,60 %.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43.471,49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28.963,29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66,6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422 Postrojenja i oprema iznose 28.963,29 € i za 33,40 % su manja u odnosu na isto obračunsko razdoblje prošle godine, a sastoje se od: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Uredska oprema i namještaj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Komunikacijska oprema</w:t>
      </w:r>
    </w:p>
    <w:p w:rsidR="00E75058" w:rsidRDefault="006E2A6F">
      <w:pPr>
        <w:pStyle w:val="ListParagraph"/>
        <w:numPr>
          <w:ilvl w:val="0"/>
          <w:numId w:val="1"/>
        </w:numPr>
      </w:pPr>
      <w:r>
        <w:t>Oprema za održavanje i zaštitu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26.327,01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24.459,33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4221 Uredska oprema i namještaj iznosi 24.459,33 € i za 7,10 % su manji. U 2026. g. za Digitalizaciju su nabavljene web kamere, tipkovnice i miševi, za Tehnološki park za Zelene knjižnicu na </w:t>
      </w:r>
      <w:proofErr w:type="spellStart"/>
      <w:r>
        <w:t>Dračevcu</w:t>
      </w:r>
      <w:proofErr w:type="spellEnd"/>
      <w:r>
        <w:t xml:space="preserve"> nabavljeno su laptopi, interaktivni ekran sa stalkom, pr</w:t>
      </w:r>
      <w:r>
        <w:t xml:space="preserve">interi, </w:t>
      </w:r>
      <w:proofErr w:type="spellStart"/>
      <w:r>
        <w:t>ladičari</w:t>
      </w:r>
      <w:proofErr w:type="spellEnd"/>
      <w:r>
        <w:t>, tepisi, lampe, stalci, kante za smeće, dječji stol sa stolicama, višenamjenske stolice, regal, dvosjed, set stolića, pokretni stalak za knjige, USB čitač te biljke. Za Knjižnicu Podstrana nabavljeni su printer i laptopi, ljestve, police z</w:t>
      </w:r>
      <w:r>
        <w:t>a knjige . Za Matičnu službu nabavljeni su printer, miš i slušalice.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Komunikacijska </w:t>
            </w:r>
            <w:r>
              <w:rPr>
                <w:sz w:val="18"/>
              </w:rPr>
              <w:t>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2533,3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4222 Komunikacijsku opremu iznosi 95,00 € i za 2.433,30 € je veći. Nabavljen je novi telefoni za Tehnološki park i Knjižnicu Podstrana.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16.377,63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4223 Oprema za održavanje i zaštitu iznose 4.408,96 €, i za 73,10% su manji jer je u 2025. nabavljen novi </w:t>
      </w:r>
      <w:proofErr w:type="spellStart"/>
      <w:r>
        <w:t>videonadzora</w:t>
      </w:r>
      <w:proofErr w:type="spellEnd"/>
      <w:r>
        <w:t xml:space="preserve"> u Središnjici, a u 2026. nabavljen uređaj za održavanje prostorija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4226 Sportska i glazbena oprema u ovom obračunskom razdoblju nema.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4227 Uređaji, strojevi i oprema za ostale namjene u ovom obračunskom razdoblju nema za razliku od 2025. kada su nabavljeni hladnjaci.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lastRenderedPageBreak/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199.372,59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225.558,52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424 Knjige, umjetnička djela i ostale Izložbene vrijednosti u iznosu od 225.558,52 € i </w:t>
      </w:r>
      <w:proofErr w:type="spellStart"/>
      <w:r>
        <w:t>i</w:t>
      </w:r>
      <w:proofErr w:type="spellEnd"/>
      <w:r>
        <w:t xml:space="preserve"> za 13,10 % su veći jer je od nadležnog i nenadležnih proračuna, Ministarstva kulture i medija u 2026. osigurano više sredstava za knjižnu građu. Iz sredstava nadležnog</w:t>
      </w:r>
      <w:r>
        <w:t xml:space="preserve"> proračuna Grada Splita za 2026. nabavljeno je  knjiga, igračaka, u iznosu od 70.416,06 €. Iz sredstava Ministarstvo kulture i medija je za nabavu knjiga, igračaka i elektroničke građe za Knjižnice u mreži, Knjižnicu Podstrana i Grohote, te za Bibliobus i </w:t>
      </w:r>
      <w:r>
        <w:t>novu Knjižnicu Tehnološki park u iznosu od 131.655,06 €</w:t>
      </w:r>
    </w:p>
    <w:p w:rsidR="00E75058" w:rsidRDefault="006E2A6F">
      <w:r>
        <w:t>Iz sredstava općine Podstrana i općine Grohote 5.556,43 €.</w:t>
      </w:r>
    </w:p>
    <w:p w:rsidR="00E75058" w:rsidRDefault="006E2A6F">
      <w:r>
        <w:t>Ostalo su donacije građana i nakladnika u iznosu od 17.930,97 €.</w:t>
      </w:r>
    </w:p>
    <w:p w:rsidR="00E75058" w:rsidRDefault="006E2A6F">
      <w:r>
        <w:t>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199.372,59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225.558,52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42441 Knjige iznose 225.558,52 € i za 13,10 % su veći jer je od nadležnog i nenadležnih proračuna, Ministarstva kulture i medija u 2026. osigurano više sredstava za knjižnu građu. Iz sredstava nadležnog proračuna Grada Splita za 2026. nabavljeno je  knjiga</w:t>
      </w:r>
      <w:r>
        <w:t xml:space="preserve">, igračaka, u iznosu od 70.416,06 €. Iz sredstava Ministarstvo kulture i medija je za nabavu knjiga, igračaka i elektroničke građe za Knjižnice u mreži, Knjižnicu Podstrana i Grohote, te za Bibliobus i novu Knjižnicu Tehnološki park u iznosu od 131.655,06 </w:t>
      </w:r>
      <w:r>
        <w:t>€</w:t>
      </w:r>
    </w:p>
    <w:p w:rsidR="00E75058" w:rsidRDefault="006E2A6F">
      <w:r>
        <w:t>Iz sredstava općine Podstrana i općine Grohote 5.556,43 €.</w:t>
      </w:r>
    </w:p>
    <w:p w:rsidR="00E75058" w:rsidRDefault="006E2A6F">
      <w:r>
        <w:t>Ostalo su donacije građana i nakladnika u iznosu od 17.930,97 €.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 i osnovno stado (šifre 4251+4252)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lastRenderedPageBreak/>
        <w:t>425 Višegodišnji nasadi i osnovno stado iznose 4.295,25 € i u ovom obračunskom razdoblju prošle godine ih nije bilo. Nabavljene su bilje za Knjižnicu Tehnološki park i oleandri za Knjižnicu Dalmatina.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425 Višegodišnji nasadi i osnovno stado iznose 4.295,25 € i u ovom obračunskom razdoblju prošle godine ih nije bilo. Nabavljene su bilje za Knjižnicu Tehnološki park i oleandri za Knjižnicu Dalmatina.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426 Nematerijalna proizvedena imovina su </w:t>
      </w:r>
      <w:proofErr w:type="spellStart"/>
      <w:r>
        <w:t>dvd</w:t>
      </w:r>
      <w:proofErr w:type="spellEnd"/>
      <w:r>
        <w:t>-ovi za odjel multimedije u iznosu od 172,55 €.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 xml:space="preserve">426 Nematerijalna proizvedena imovina su </w:t>
      </w:r>
      <w:proofErr w:type="spellStart"/>
      <w:r>
        <w:t>dvd</w:t>
      </w:r>
      <w:proofErr w:type="spellEnd"/>
      <w:r>
        <w:t>-ovi za odjel multimedije u iznosu od 172,55 €.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57.007,73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lastRenderedPageBreak/>
        <w:t>REZULTAT POSLOVANJA – Ostvaren je VIŠAK PRIHODA I PRIMITAKA u iznosu od 57.007,73 € jer su veći su prihodi za zaposlene i sredstva za nabavu knjiga i knjižne građe, nadležni proračun je početkom godine platio plaćanja iz 2025.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55.470,15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REZULTAT POSLOVANJA – Ostvaren je VIŠAK PRIHODA I PRIMITAKA u iznosu od 57.007,73 € i to iz sljedećih razloga:</w:t>
      </w:r>
    </w:p>
    <w:p w:rsidR="00E75058" w:rsidRDefault="006E2A6F">
      <w:r>
        <w:t>-   veći su prihodi za zaposlene i sredstva za nabavu knjiga i knjižne građe, nadležni proračun je početkom godine platio plaćanja</w:t>
      </w:r>
      <w:r>
        <w:t xml:space="preserve"> iz 2025. koja je bila prijelazna godina u kojoj je knjiženo 13 plaća jer se Od 1.1.2025. rashodi plaća se računaju u periodu realizacije. Ukinuti su rashodi budućih razdoblja sukladno čl. 233. Pravilnika o proračunskom računovodstvu i računskom planu (NN </w:t>
      </w:r>
      <w:r>
        <w:t>158/23), pa zaključno s 31.12.2025. imamo knjiženih trinaest plaća zbog primjene modificiranog računovodstvenog načela po kojem se rashodi i obaveze priznaju na temelju nastanka poslovnog događaja i u izvještajnom razdoblju na koje se odnose neovisno o pla</w:t>
      </w:r>
      <w:r>
        <w:t>ćanju ( čl. 110. st 1 i 2, Pravilnika o proračunskom računovodstvu i računskom planu, NN 158/23).</w:t>
      </w:r>
    </w:p>
    <w:p w:rsidR="00E75058" w:rsidRDefault="006E2A6F">
      <w:r>
        <w:t>-   Ukupan manjak koji se prenosi u sljedeće razdoblje iznosi 55.470,15 €.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309.443,73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STANJE OBVEZA NA KRAJU IZVJEŠTAJNOG RAZDOBLJA iznosi 309.443,73 €, od toga je nedospjelo 268.213,25 €. </w:t>
      </w:r>
    </w:p>
    <w:p w:rsidR="00E75058" w:rsidRDefault="006E2A6F">
      <w:r>
        <w:t> 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41.230,48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lastRenderedPageBreak/>
        <w:t>Dospjele obaveza iznose 41.230,47 € i najveći dio se odnosi na račune dobavljača koji su u dospijeću do 60 dana.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E7505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</w:t>
            </w:r>
            <w:r>
              <w:rPr>
                <w:sz w:val="18"/>
              </w:rPr>
              <w:t>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268.213,25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Nedospjele obaveze se sastoje od obaveza za plaću 06/26 u iznosu 202.583,47 €, putne naloge, troškove vanjskim suradnicima i UV, te redovnih računa rashoda poslovanja, računi režija i redovnog mj. održavanja u iznosu od 16.682,15.</w:t>
      </w:r>
    </w:p>
    <w:p w:rsidR="00E75058" w:rsidRDefault="006E2A6F">
      <w:r>
        <w:t>Iznos od 17.262,08 € odno</w:t>
      </w:r>
      <w:r>
        <w:t>si se na račune knjiga i nabavu ostale nefinancijske imovine, uredske i ostale opreme.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750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750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27.685,74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75058" w:rsidRDefault="006E2A6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75058" w:rsidRDefault="00E75058">
      <w:pPr>
        <w:spacing w:after="0"/>
      </w:pPr>
    </w:p>
    <w:p w:rsidR="00E75058" w:rsidRDefault="006E2A6F">
      <w:r>
        <w:t>Obaveze za predujmove (27) u najvećem dijelu se sastoje od uplaćenih predujmova od strane AMPEU za Erasmus + programe. Iznos od 14.344,00€ za Erasmus + program br.:2025-1-HR01-KA121-ADU-000337128 u trajanju od 01.6.25.-31.07.27. i iznos od 11.856,00 € za E</w:t>
      </w:r>
      <w:r>
        <w:t>rasmus + program br.:  2026-1 HR01-KA121-ADU-000425093 u trajanju od 01.06.2026. do 31.08.2027. Oba programa su iz područja obrazovanja odraslih.</w:t>
      </w:r>
    </w:p>
    <w:p w:rsidR="00E75058" w:rsidRDefault="00E75058"/>
    <w:p w:rsidR="00E75058" w:rsidRDefault="006E2A6F">
      <w:pPr>
        <w:keepNext/>
        <w:spacing w:line="240" w:lineRule="auto"/>
        <w:jc w:val="center"/>
      </w:pPr>
      <w:r>
        <w:rPr>
          <w:sz w:val="28"/>
        </w:rPr>
        <w:t>Bilješka 86.</w:t>
      </w:r>
    </w:p>
    <w:p w:rsidR="00E75058" w:rsidRDefault="006E2A6F">
      <w:pPr>
        <w:spacing w:line="240" w:lineRule="auto"/>
        <w:jc w:val="both"/>
      </w:pPr>
      <w:r>
        <w:rPr>
          <w:b/>
        </w:rPr>
        <w:t>EU izvještaj</w:t>
      </w:r>
    </w:p>
    <w:p w:rsidR="00E75058" w:rsidRDefault="006E2A6F">
      <w:r>
        <w:t>U 2025. i 2026. godini knjižnica je potpisala s AMPEU ugovore o dodjeli bespovratni</w:t>
      </w:r>
      <w:r>
        <w:t>h sredstava za program Erasmus + </w:t>
      </w:r>
    </w:p>
    <w:p w:rsidR="00E75058" w:rsidRDefault="006E2A6F">
      <w:r>
        <w:t>Projekt 2023-1-HR01-KA121-ADU-000137281 na maksimalni iznos od 17.930,00 €. Datum početka projekta je 01.06.2025., a datum završetka je svibanj 2027. , rok trajanja projekta je produljen. Vrsta aktivnosti: KA1 u području o</w:t>
      </w:r>
      <w:r>
        <w:t>brazovanja odraslih: mobilnost za polaznike i osoblje u obrazovanju odraslih. Agencija je 12.06.2025. uplatila predujam od 14.344,00 € </w:t>
      </w:r>
    </w:p>
    <w:p w:rsidR="00E75058" w:rsidRDefault="006E2A6F">
      <w:r>
        <w:t>Drugi program 2026-1 HR01-KA121-ADU-000425093 također iz područja obrazovanja odraslih traje do 31.08.2027., za taj prog</w:t>
      </w:r>
      <w:r>
        <w:t>ram Agencija je 15.06.2026. uplatila predujam od 11.856 €.  Maksimalni iznos programa je 14.820,00 €. Programi su u tijeku.</w:t>
      </w:r>
    </w:p>
    <w:p w:rsidR="00E75058" w:rsidRDefault="00E75058"/>
    <w:sectPr w:rsidR="00E7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788A"/>
    <w:multiLevelType w:val="hybridMultilevel"/>
    <w:tmpl w:val="4948B0D8"/>
    <w:name w:val="disc"/>
    <w:lvl w:ilvl="0" w:tplc="DE481AA0">
      <w:start w:val="1"/>
      <w:numFmt w:val="bullet"/>
      <w:lvlText w:val="•"/>
      <w:lvlJc w:val="left"/>
      <w:pPr>
        <w:ind w:left="720" w:hanging="360"/>
      </w:pPr>
    </w:lvl>
    <w:lvl w:ilvl="1" w:tplc="B69E710E">
      <w:start w:val="1"/>
      <w:numFmt w:val="bullet"/>
      <w:lvlText w:val="•"/>
      <w:lvlJc w:val="left"/>
      <w:pPr>
        <w:ind w:left="1440" w:hanging="360"/>
      </w:pPr>
    </w:lvl>
    <w:lvl w:ilvl="2" w:tplc="9626AE8A">
      <w:start w:val="1"/>
      <w:numFmt w:val="bullet"/>
      <w:lvlText w:val="•"/>
      <w:lvlJc w:val="left"/>
      <w:pPr>
        <w:ind w:left="2160" w:hanging="360"/>
      </w:pPr>
    </w:lvl>
    <w:lvl w:ilvl="3" w:tplc="6C4ADA90">
      <w:start w:val="1"/>
      <w:numFmt w:val="bullet"/>
      <w:lvlText w:val="•"/>
      <w:lvlJc w:val="left"/>
      <w:pPr>
        <w:ind w:left="2880" w:hanging="360"/>
      </w:pPr>
    </w:lvl>
    <w:lvl w:ilvl="4" w:tplc="7AE87684">
      <w:start w:val="1"/>
      <w:numFmt w:val="bullet"/>
      <w:lvlText w:val="•"/>
      <w:lvlJc w:val="left"/>
      <w:pPr>
        <w:ind w:left="3600" w:hanging="360"/>
      </w:pPr>
    </w:lvl>
    <w:lvl w:ilvl="5" w:tplc="1B5CD9B8">
      <w:start w:val="1"/>
      <w:numFmt w:val="bullet"/>
      <w:lvlText w:val="•"/>
      <w:lvlJc w:val="left"/>
      <w:pPr>
        <w:ind w:left="4320" w:hanging="360"/>
      </w:pPr>
    </w:lvl>
    <w:lvl w:ilvl="6" w:tplc="10B433A8">
      <w:start w:val="1"/>
      <w:numFmt w:val="bullet"/>
      <w:lvlText w:val="•"/>
      <w:lvlJc w:val="left"/>
      <w:pPr>
        <w:ind w:left="5040" w:hanging="360"/>
      </w:pPr>
    </w:lvl>
    <w:lvl w:ilvl="7" w:tplc="30B056F8">
      <w:start w:val="1"/>
      <w:numFmt w:val="bullet"/>
      <w:lvlText w:val="•"/>
      <w:lvlJc w:val="left"/>
      <w:pPr>
        <w:ind w:left="5760" w:hanging="360"/>
      </w:pPr>
    </w:lvl>
    <w:lvl w:ilvl="8" w:tplc="C0FC2C50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5058"/>
    <w:rsid w:val="006E2A6F"/>
    <w:rsid w:val="00E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815E6-B389-4737-8398-BD258B53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7577</Words>
  <Characters>43193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Stubnja</dc:creator>
  <cp:lastModifiedBy>Ana Stubnja</cp:lastModifiedBy>
  <cp:revision>3</cp:revision>
  <cp:lastPrinted>2026-07-15T10:10:00Z</cp:lastPrinted>
  <dcterms:created xsi:type="dcterms:W3CDTF">2026-07-15T10:10:00Z</dcterms:created>
  <dcterms:modified xsi:type="dcterms:W3CDTF">2026-07-15T10:11:00Z</dcterms:modified>
</cp:coreProperties>
</file>